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>Продуктивная деятельность в средней группе “Земляничка”(2.11-6.11)</w:t>
      </w:r>
    </w:p>
    <w:p>
      <w:pPr>
        <w:jc w:val="left"/>
        <w:rPr>
          <w:rFonts w:ascii="Times New Roman" w:eastAsia="Times New Roman" w:hAnsi="Times New Roman"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sz w:val="36"/>
          <w:szCs w:val="36"/>
        </w:rPr>
        <w:drawing>
          <wp:inline distT="0" distB="0" distL="180" distR="180">
            <wp:extent cx="2364174" cy="3152432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4174" cy="315243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Рисование на тему” Транспорт”</w:t>
      </w:r>
    </w:p>
    <w:p>
      <w:pPr>
        <w:jc w:val="left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“Кораблик”</w:t>
      </w:r>
    </w:p>
    <w:p>
      <w:pPr>
        <w:jc w:val="lef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Задачи:</w:t>
      </w:r>
      <w:r>
        <w:rPr>
          <w:rFonts w:ascii="Times New Roman" w:eastAsia="Times New Roman" w:hAnsi="Times New Roman" w:hint="default"/>
          <w:sz w:val="32"/>
          <w:szCs w:val="32"/>
        </w:rPr>
        <w:t>Учить детей рисовать по представлению предметы, состоящиеиз двух частей, и закрашивать их восковыми мелками.</w:t>
      </w:r>
    </w:p>
    <w:sect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2020-11-08T15:47:55Z</dcterms:created>
  <dcterms:modified xsi:type="dcterms:W3CDTF">2020-11-08T15:56:28Z</dcterms:modified>
  <cp:version>0900.0000.01</cp:version>
</cp:coreProperties>
</file>