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a5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"ИГРЫ  С  ВОДОЙ"</w:t>
      </w:r>
    </w:p>
    <w:p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«Познакомимся с водой».</w:t>
      </w:r>
    </w:p>
    <w:p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Побеседуйте с детьми о свойствах воды.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- Вода разливается по поверхности стола.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- Воду можно собрать губкой. Поупражняйте детей в собирании воды с помощью губки: положите губку в лужу, отожмите воду из губки в ванную.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- Вода бывает теплая и холодная. Принесите холодной и горячей воды (проверьте с детьми температуру горячей воды через стенки ведерка, а холодной – в ведерке). Смешайте и сделайте теплую воду.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- Вода наливается в разные сосуды. Разлейте с детьми воду из большого сосуда в несколько маленьких. Дайте детям возможность самостоятельно наливать воду.</w:t>
      </w:r>
      <w:r>
        <w:rPr>
          <w:rFonts w:ascii="Times New Roman" w:hAnsi="Times New Roman" w:cs="Times New Roman"/>
          <w:sz w:val="28"/>
          <w:szCs w:val="28"/>
        </w:rPr>
        <w:br/>
      </w:r>
    </w:p>
    <w:p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«Ну-ка, вылови!»</w:t>
      </w:r>
    </w:p>
    <w:p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Поставьте на крышку стола (если стол для игр имеет две чаши, крышка на закрытой ванне используется как стол) тарелку или ведерко. В ванне с водой плавают мелкие предметы и игрушки. Предложите детям выловить их по одному ложкой и переложить в ведерко. Вначале помогите ребенку, слегка направляя его руку. Следите, чтобы ребенок правильно держал ложку. Важно довести упражнение до конца: все предметы перенести в тарелку, а пролитую воду собрать губкой. Для повышения детского интереса к упражнению и усложнения действия в следующий раз предложите ему ситечко или сачок вместо ложки.</w:t>
      </w:r>
      <w:r>
        <w:rPr>
          <w:rFonts w:ascii="Times New Roman" w:hAnsi="Times New Roman" w:cs="Times New Roman"/>
          <w:sz w:val="28"/>
          <w:szCs w:val="28"/>
        </w:rPr>
        <w:br/>
      </w:r>
    </w:p>
    <w:p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«Кто быстрее нальет и выльет?»</w:t>
      </w:r>
    </w:p>
    <w:p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Предложите детям разной формы сосуды (бутылочки, кружки, баночки). Пусть дети набирают в них воду, опуская сосуд в воду. Расскажите детям, что вода наливается в разные сосуды. Предложите наливать воду через воронку в сосуды разного размера.</w:t>
      </w:r>
      <w:r>
        <w:rPr>
          <w:rFonts w:ascii="Times New Roman" w:hAnsi="Times New Roman" w:cs="Times New Roman"/>
          <w:sz w:val="28"/>
          <w:szCs w:val="28"/>
        </w:rPr>
        <w:br/>
      </w:r>
    </w:p>
    <w:p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«Жур- жур , кап-кап…»</w:t>
      </w:r>
    </w:p>
    <w:p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Выливая воду из бутылочки, предложите детям послушать, как журчит вода. Послушайте вместе с детьми, как капелька из пипетки ударяет о поверхность стола или железный поднос.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Какие разные бутылочки!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Дайте детям бутылочки с разным диаметром горлышка. Пусть дети наполняют бутылочки одновременно. Так же одновременно пусть дети выливают воду. Подведите детей к пониманию того, что скорость наполнения бутылочки и выливания воды из нее зависит от размера горлышка.</w:t>
      </w:r>
    </w:p>
    <w:p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rtl w:val="off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rtl w:val="off"/>
        </w:rPr>
      </w:pPr>
    </w:p>
    <w:p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rtl w:val="off"/>
        </w:rPr>
      </w:pPr>
    </w:p>
    <w:p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rtl w:val="off"/>
        </w:rPr>
      </w:pPr>
    </w:p>
    <w:p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rtl w:val="off"/>
        </w:rPr>
      </w:pPr>
    </w:p>
    <w:p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«Разноцветная вода»</w:t>
      </w:r>
    </w:p>
    <w:p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присутствии детей окрасьте воду в ванне пищевым красителем. Пусть дети наливают «волшебную» воду в прозрачные емкости, вместе с ними выразите восхищение от увиденного. Доставьте детям радость, позволив им пускать в необычной воде рыбок, кораблики, лодочки из пенопласта и скорлупы грецких орехов. Покажите, как палочкой можно направить кораблик в нужную сторону.</w:t>
      </w:r>
      <w:r>
        <w:rPr>
          <w:rFonts w:ascii="Times New Roman" w:hAnsi="Times New Roman" w:cs="Times New Roman"/>
          <w:sz w:val="28"/>
          <w:szCs w:val="28"/>
        </w:rPr>
        <w:br/>
      </w:r>
    </w:p>
    <w:p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«Волшебный камешек»</w:t>
      </w:r>
    </w:p>
    <w:p>
      <w:pPr>
        <w:pStyle w:val="a5"/>
        <w:rPr>
          <w:rFonts w:ascii="Times New Roman" w:hAnsi="Times New Roman" w:cs="Times New Roman"/>
          <w:sz w:val="28"/>
          <w:szCs w:val="28"/>
          <w:rtl w:val="off"/>
        </w:rP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Рассмотрите с детьми сухие камешки. Опустите их в ванну с водой. Поговорите с детьми о том, что камешки тяжелые, и они упали на дно. Достаньте камешки и сравните их с сухими. Вместе с детьми сделайте вывод о том, что мокрые камешки </w:t>
      </w:r>
    </w:p>
    <w:p>
      <w:pPr>
        <w:pStyle w:val="a5"/>
        <w:rPr>
          <w:rFonts w:ascii="Times New Roman" w:hAnsi="Times New Roman" w:cs="Times New Roman"/>
          <w:sz w:val="28"/>
          <w:szCs w:val="28"/>
          <w:rtl w:val="off"/>
        </w:rPr>
      </w:pPr>
      <w:r>
        <w:rPr>
          <w:rFonts w:ascii="Times New Roman" w:hAnsi="Times New Roman" w:cs="Times New Roman"/>
          <w:sz w:val="28"/>
          <w:szCs w:val="28"/>
        </w:rPr>
        <w:t>изменили свой цвет.</w:t>
      </w:r>
      <w:r>
        <w:rPr>
          <w:rFonts w:ascii="Times New Roman" w:hAnsi="Times New Roman" w:cs="Times New Roman"/>
          <w:sz w:val="28"/>
          <w:szCs w:val="28"/>
        </w:rPr>
        <w:br/>
      </w:r>
    </w:p>
    <w:p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«Тонет – не тонет»</w:t>
      </w:r>
    </w:p>
    <w:p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Дайте детям разные предметы (деревянные, металлические, пластмассовые, резиновые, камешки). Предложите бросить их в воду ванны. Посмотрите, какие из них утонули, а какие плавают.</w:t>
      </w:r>
    </w:p>
    <w:p>
      <w:pPr>
        <w:bidi w:val="off"/>
        <w:jc w:val="both"/>
        <w:spacing w:lineRule="auto"/>
        <w:rPr>
          <w:rFonts w:ascii="Times New Roman" w:eastAsia="Times New Roman" w:hAnsi="Times New Roman"/>
          <w:color w:val="000011"/>
          <w:sz w:val="28"/>
          <w:szCs w:val="28"/>
        </w:rPr>
      </w:pPr>
    </w:p>
    <w:sectPr>
      <w:pgSz w:w="11906" w:h="16838"/>
      <w:pgMar w:top="720" w:right="720" w:bottom="720" w:left="720" w:header="720" w:footer="720" w:gutter="0"/>
      <w:cols/>
      <w:docGrid w:linePitch="170" w:charSpace="-61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Times New Roman">
    <w:panose1 w:val="02020603050405020304"/>
    <w:notTrueType w:val="true"/>
    <w:sig w:usb0="E0002EFF" w:usb1="C000785B" w:usb2="00000009" w:usb3="00000001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removePersonalInformation/>
  <w:bordersDontSurroundHeader/>
  <w:bordersDontSurroundFooter/>
  <w:hideGrammaticalErrors/>
  <w:proofState w:spelling="clean" w:grammar="clean"/>
  <w:defaultTabStop w:val="800"/>
  <w:drawingGridHorizontalSpacing w:val="1000"/>
  <w:drawingGridVerticalSpacing w:val="1000"/>
  <w:displayHorizontalDrawingGridEvery w:val="1"/>
  <w:displayVerticalDrawingGridEvery w:val="1"/>
  <w:characterSpacingControl w:val="doNotCompress"/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" w:eastAsia="" w:bidi="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ru-RU" w:eastAsia="en-US" w:bidi="ar-SA"/>
        <w:rFonts w:asciiTheme="minorHAnsi" w:eastAsiaTheme="minorHAnsi" w:hAnsiTheme="minorHAnsi" w:cstheme="minorBid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a1">
    <w:name w:val="Normal"/>
    <w:qFormat/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paragraph" w:styleId="a5">
    <w:name w:val="No Spacing"/>
    <w:qFormat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MS Gothic"/>
        <a:font script="Hang" typeface="맑은 고딕"/>
        <a:font script="Hans" typeface="SimSun"/>
        <a:font script="Hant" typeface="PMingLiU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MS Mincho"/>
        <a:font script="Hang" typeface="맑은 고딕"/>
        <a:font script="Hans" typeface="SimSun"/>
        <a:font script="Hant" typeface="PMingLiU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хп</cp:lastModifiedBy>
  <cp:revision>1</cp:revision>
  <dcterms:modified xsi:type="dcterms:W3CDTF">2020-04-25T15:13:21Z</dcterms:modified>
  <cp:version>0900.0000.01</cp:version>
</cp:coreProperties>
</file>